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jc w:val="center"/>
        <w:rPr>
          <w:rFonts w:hint="default"/>
          <w:b/>
          <w:bCs/>
          <w:sz w:val="22"/>
          <w:szCs w:val="28"/>
          <w:lang w:val="en-US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聚宽中转QMT量化交易系统 使用说明</w:t>
      </w:r>
    </w:p>
    <w:p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tLeast"/>
        <w:textAlignment w:val="auto"/>
        <w:rPr>
          <w:rFonts w:hint="default"/>
          <w:b/>
          <w:bCs/>
          <w:color w:val="auto"/>
          <w:sz w:val="22"/>
          <w:szCs w:val="28"/>
          <w:highlight w:val="none"/>
          <w:lang w:val="en-US" w:eastAsia="zh-CN"/>
        </w:rPr>
      </w:pPr>
      <w:r>
        <w:rPr>
          <w:rFonts w:hint="eastAsia"/>
          <w:b/>
          <w:bCs/>
          <w:color w:val="auto"/>
          <w:sz w:val="22"/>
          <w:szCs w:val="28"/>
          <w:highlight w:val="none"/>
          <w:lang w:val="en-US" w:eastAsia="zh-CN"/>
        </w:rPr>
        <w:t>网盘地址：</w:t>
      </w:r>
      <w:r>
        <w:rPr>
          <w:rFonts w:hint="eastAsia"/>
          <w:b/>
          <w:bCs/>
          <w:color w:val="auto"/>
          <w:sz w:val="22"/>
          <w:szCs w:val="28"/>
          <w:highlight w:val="none"/>
          <w:lang w:val="en-US" w:eastAsia="zh-CN"/>
        </w:rPr>
        <w:fldChar w:fldCharType="begin"/>
      </w:r>
      <w:r>
        <w:rPr>
          <w:rFonts w:hint="eastAsia"/>
          <w:b/>
          <w:bCs/>
          <w:color w:val="auto"/>
          <w:sz w:val="22"/>
          <w:szCs w:val="28"/>
          <w:highlight w:val="none"/>
          <w:lang w:val="en-US" w:eastAsia="zh-CN"/>
        </w:rPr>
        <w:instrText xml:space="preserve"> HYPERLINK "https://wwwm.lanzoue.com/b0koh2xda" </w:instrText>
      </w:r>
      <w:r>
        <w:rPr>
          <w:rFonts w:hint="eastAsia"/>
          <w:b/>
          <w:bCs/>
          <w:color w:val="auto"/>
          <w:sz w:val="22"/>
          <w:szCs w:val="28"/>
          <w:highlight w:val="none"/>
          <w:lang w:val="en-US" w:eastAsia="zh-CN"/>
        </w:rPr>
        <w:fldChar w:fldCharType="separate"/>
      </w:r>
      <w:r>
        <w:rPr>
          <w:rStyle w:val="9"/>
          <w:rFonts w:hint="eastAsia"/>
          <w:b/>
          <w:bCs/>
          <w:sz w:val="22"/>
          <w:szCs w:val="28"/>
          <w:highlight w:val="none"/>
          <w:lang w:val="en-US" w:eastAsia="zh-CN"/>
        </w:rPr>
        <w:t>https://wwwm.lanzoue.com/b0koh2xda</w:t>
      </w:r>
      <w:r>
        <w:rPr>
          <w:rFonts w:hint="eastAsia"/>
          <w:b/>
          <w:bCs/>
          <w:color w:val="auto"/>
          <w:sz w:val="22"/>
          <w:szCs w:val="28"/>
          <w:highlight w:val="none"/>
          <w:lang w:val="en-US" w:eastAsia="zh-CN"/>
        </w:rPr>
        <w:fldChar w:fldCharType="end"/>
      </w:r>
      <w:r>
        <w:rPr>
          <w:rFonts w:hint="eastAsia"/>
          <w:b/>
          <w:bCs/>
          <w:color w:val="auto"/>
          <w:sz w:val="22"/>
          <w:szCs w:val="28"/>
          <w:highlight w:val="none"/>
          <w:lang w:val="en-US" w:eastAsia="zh-CN"/>
        </w:rPr>
        <w:t xml:space="preserve"> 密码:8888</w:t>
      </w:r>
      <w:bookmarkStart w:id="0" w:name="_GoBack"/>
      <w:bookmarkEnd w:id="0"/>
    </w:p>
    <w:p>
      <w:pPr>
        <w:pStyle w:val="4"/>
        <w:keepNext/>
        <w:keepLines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 w:line="240" w:lineRule="auto"/>
        <w:textAlignment w:val="auto"/>
        <w:rPr>
          <w:rFonts w:hint="default"/>
          <w:lang w:val="en-US" w:eastAsia="zh-CN"/>
        </w:rPr>
      </w:pPr>
      <w:r>
        <w:rPr>
          <w:rFonts w:hint="eastAsia"/>
          <w:sz w:val="24"/>
          <w:szCs w:val="21"/>
          <w:lang w:val="en-US" w:eastAsia="zh-CN"/>
        </w:rPr>
        <w:t>聚宽端设置步骤：</w:t>
      </w:r>
    </w:p>
    <w:p>
      <w:pPr>
        <w:numPr>
          <w:ilvl w:val="0"/>
          <w:numId w:val="2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将下载好的</w:t>
      </w:r>
      <w:r>
        <w:rPr>
          <w:rFonts w:hint="default"/>
          <w:lang w:val="en-US" w:eastAsia="zh-CN"/>
        </w:rPr>
        <w:t xml:space="preserve">miku.so文件上传到聚宽的研究环境 </w:t>
      </w:r>
      <w:r>
        <w:rPr>
          <w:rFonts w:hint="default"/>
          <w:lang w:val="en-US" w:eastAsia="zh-CN"/>
        </w:rPr>
        <w:fldChar w:fldCharType="begin"/>
      </w:r>
      <w:r>
        <w:rPr>
          <w:rFonts w:hint="default"/>
          <w:lang w:val="en-US" w:eastAsia="zh-CN"/>
        </w:rPr>
        <w:instrText xml:space="preserve"> HYPERLINK "https://www.joinquant.com/research" </w:instrText>
      </w:r>
      <w:r>
        <w:rPr>
          <w:rFonts w:hint="default"/>
          <w:lang w:val="en-US" w:eastAsia="zh-CN"/>
        </w:rPr>
        <w:fldChar w:fldCharType="separate"/>
      </w:r>
      <w:r>
        <w:rPr>
          <w:rStyle w:val="9"/>
          <w:rFonts w:hint="default"/>
          <w:lang w:val="en-US" w:eastAsia="zh-CN"/>
        </w:rPr>
        <w:t>https://www.joinquant.com/research</w:t>
      </w:r>
      <w:r>
        <w:rPr>
          <w:rFonts w:hint="default"/>
          <w:lang w:val="en-US" w:eastAsia="zh-CN"/>
        </w:rPr>
        <w:fldChar w:fldCharType="end"/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3903980" cy="1718945"/>
            <wp:effectExtent l="0" t="0" r="7620" b="8255"/>
            <wp:docPr id="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03980" cy="171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ind w:left="0" w:leftChars="0" w:firstLine="0" w:firstLine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将以下</w:t>
      </w:r>
      <w:r>
        <w:rPr>
          <w:rFonts w:hint="eastAsia"/>
          <w:lang w:val="en-US" w:eastAsia="zh-CN"/>
        </w:rPr>
        <w:t>蓝色代码</w:t>
      </w:r>
      <w:r>
        <w:rPr>
          <w:rFonts w:hint="default"/>
          <w:lang w:val="en-US" w:eastAsia="zh-CN"/>
        </w:rPr>
        <w:t>复制</w:t>
      </w:r>
      <w:r>
        <w:rPr>
          <w:rFonts w:hint="eastAsia"/>
          <w:lang w:val="en-US" w:eastAsia="zh-CN"/>
        </w:rPr>
        <w:t>，编辑需要运行的</w:t>
      </w:r>
      <w:r>
        <w:rPr>
          <w:rFonts w:hint="default"/>
          <w:lang w:val="en-US" w:eastAsia="zh-CN"/>
        </w:rPr>
        <w:t>策略</w:t>
      </w:r>
      <w:r>
        <w:rPr>
          <w:rFonts w:hint="eastAsia"/>
          <w:lang w:val="en-US" w:eastAsia="zh-CN"/>
        </w:rPr>
        <w:t>，替换</w:t>
      </w:r>
      <w:r>
        <w:rPr>
          <w:rFonts w:hint="default"/>
          <w:color w:val="E54C5E" w:themeColor="accent6"/>
          <w:lang w:val="en-US" w:eastAsia="zh-CN"/>
          <w14:textFill>
            <w14:solidFill>
              <w14:schemeClr w14:val="accent6"/>
            </w14:solidFill>
          </w14:textFill>
        </w:rPr>
        <w:t>def initialize(context):</w:t>
      </w:r>
      <w:r>
        <w:rPr>
          <w:rFonts w:hint="eastAsia"/>
          <w:color w:val="E54C5E" w:themeColor="accent6"/>
          <w:lang w:val="en-US" w:eastAsia="zh-CN"/>
          <w14:textFill>
            <w14:solidFill>
              <w14:schemeClr w14:val="accent6"/>
            </w14:solidFill>
          </w14:textFill>
        </w:rPr>
        <w:t xml:space="preserve"> </w:t>
      </w:r>
      <w:r>
        <w:rPr>
          <w:rFonts w:hint="default"/>
          <w:lang w:val="en-US" w:eastAsia="zh-CN"/>
        </w:rPr>
        <w:t>这一</w:t>
      </w:r>
      <w:r>
        <w:rPr>
          <w:rFonts w:hint="eastAsia"/>
          <w:lang w:val="en-US" w:eastAsia="zh-CN"/>
        </w:rPr>
        <w:t>整</w:t>
      </w:r>
      <w:r>
        <w:rPr>
          <w:rFonts w:hint="default"/>
          <w:lang w:val="en-US" w:eastAsia="zh-CN"/>
        </w:rPr>
        <w:t>行</w:t>
      </w:r>
      <w:r>
        <w:rPr>
          <w:rFonts w:hint="eastAsia"/>
          <w:lang w:val="en-US" w:eastAsia="zh-CN"/>
        </w:rPr>
        <w:t>代码</w:t>
      </w:r>
    </w:p>
    <w:p>
      <w:pPr>
        <w:numPr>
          <w:ilvl w:val="0"/>
          <w:numId w:val="0"/>
        </w:numPr>
        <w:ind w:leftChars="0"/>
        <w:jc w:val="left"/>
        <w:rPr>
          <w:rFonts w:hint="default"/>
          <w:color w:val="4874CB" w:themeColor="accent1"/>
          <w:sz w:val="18"/>
          <w:szCs w:val="21"/>
          <w:lang w:val="en-US" w:eastAsia="zh-CN"/>
          <w14:textFill>
            <w14:solidFill>
              <w14:schemeClr w14:val="accent1"/>
            </w14:solidFill>
          </w14:textFill>
        </w:rPr>
      </w:pPr>
      <w:r>
        <w:rPr>
          <w:rFonts w:hint="default"/>
          <w:color w:val="4874CB" w:themeColor="accent1"/>
          <w:sz w:val="18"/>
          <w:szCs w:val="21"/>
          <w:lang w:val="en-US" w:eastAsia="zh-CN"/>
          <w14:textFill>
            <w14:solidFill>
              <w14:schemeClr w14:val="accent1"/>
            </w14:solidFill>
          </w14:textFill>
        </w:rPr>
        <w:t>from miku import *</w:t>
      </w:r>
    </w:p>
    <w:p>
      <w:pPr>
        <w:numPr>
          <w:ilvl w:val="0"/>
          <w:numId w:val="0"/>
        </w:numPr>
        <w:ind w:leftChars="0"/>
        <w:jc w:val="left"/>
        <w:rPr>
          <w:rFonts w:hint="default"/>
          <w:color w:val="4874CB" w:themeColor="accent1"/>
          <w:sz w:val="18"/>
          <w:szCs w:val="21"/>
          <w:lang w:val="en-US" w:eastAsia="zh-CN"/>
          <w14:textFill>
            <w14:solidFill>
              <w14:schemeClr w14:val="accent1"/>
            </w14:solidFill>
          </w14:textFill>
        </w:rPr>
      </w:pPr>
      <w:r>
        <w:rPr>
          <w:rFonts w:hint="default"/>
          <w:color w:val="4874CB" w:themeColor="accent1"/>
          <w:sz w:val="18"/>
          <w:szCs w:val="21"/>
          <w:lang w:val="en-US" w:eastAsia="zh-CN"/>
          <w14:textFill>
            <w14:solidFill>
              <w14:schemeClr w14:val="accent1"/>
            </w14:solidFill>
          </w14:textFill>
        </w:rPr>
        <w:t>order = miku_order(order)</w:t>
      </w:r>
    </w:p>
    <w:p>
      <w:pPr>
        <w:numPr>
          <w:ilvl w:val="0"/>
          <w:numId w:val="0"/>
        </w:numPr>
        <w:ind w:leftChars="0"/>
        <w:jc w:val="left"/>
        <w:rPr>
          <w:rFonts w:hint="default"/>
          <w:color w:val="4874CB" w:themeColor="accent1"/>
          <w:sz w:val="18"/>
          <w:szCs w:val="21"/>
          <w:lang w:val="en-US" w:eastAsia="zh-CN"/>
          <w14:textFill>
            <w14:solidFill>
              <w14:schemeClr w14:val="accent1"/>
            </w14:solidFill>
          </w14:textFill>
        </w:rPr>
      </w:pPr>
      <w:r>
        <w:rPr>
          <w:rFonts w:hint="default"/>
          <w:color w:val="4874CB" w:themeColor="accent1"/>
          <w:sz w:val="18"/>
          <w:szCs w:val="21"/>
          <w:lang w:val="en-US" w:eastAsia="zh-CN"/>
          <w14:textFill>
            <w14:solidFill>
              <w14:schemeClr w14:val="accent1"/>
            </w14:solidFill>
          </w14:textFill>
        </w:rPr>
        <w:t>order_target = miku_order(order_target)</w:t>
      </w:r>
    </w:p>
    <w:p>
      <w:pPr>
        <w:numPr>
          <w:ilvl w:val="0"/>
          <w:numId w:val="0"/>
        </w:numPr>
        <w:ind w:leftChars="0"/>
        <w:jc w:val="left"/>
        <w:rPr>
          <w:rFonts w:hint="default"/>
          <w:color w:val="4874CB" w:themeColor="accent1"/>
          <w:sz w:val="18"/>
          <w:szCs w:val="21"/>
          <w:lang w:val="en-US" w:eastAsia="zh-CN"/>
          <w14:textFill>
            <w14:solidFill>
              <w14:schemeClr w14:val="accent1"/>
            </w14:solidFill>
          </w14:textFill>
        </w:rPr>
      </w:pPr>
      <w:r>
        <w:rPr>
          <w:rFonts w:hint="default"/>
          <w:color w:val="4874CB" w:themeColor="accent1"/>
          <w:sz w:val="18"/>
          <w:szCs w:val="21"/>
          <w:lang w:val="en-US" w:eastAsia="zh-CN"/>
          <w14:textFill>
            <w14:solidFill>
              <w14:schemeClr w14:val="accent1"/>
            </w14:solidFill>
          </w14:textFill>
        </w:rPr>
        <w:t>order_value = miku_order(order_value)</w:t>
      </w:r>
    </w:p>
    <w:p>
      <w:pPr>
        <w:numPr>
          <w:ilvl w:val="0"/>
          <w:numId w:val="0"/>
        </w:numPr>
        <w:ind w:leftChars="0"/>
        <w:jc w:val="left"/>
        <w:rPr>
          <w:rFonts w:hint="default"/>
          <w:color w:val="4874CB" w:themeColor="accent1"/>
          <w:sz w:val="18"/>
          <w:szCs w:val="21"/>
          <w:lang w:val="en-US" w:eastAsia="zh-CN"/>
          <w14:textFill>
            <w14:solidFill>
              <w14:schemeClr w14:val="accent1"/>
            </w14:solidFill>
          </w14:textFill>
        </w:rPr>
      </w:pPr>
      <w:r>
        <w:rPr>
          <w:rFonts w:hint="default"/>
          <w:color w:val="4874CB" w:themeColor="accent1"/>
          <w:sz w:val="18"/>
          <w:szCs w:val="21"/>
          <w:lang w:val="en-US" w:eastAsia="zh-CN"/>
          <w14:textFill>
            <w14:solidFill>
              <w14:schemeClr w14:val="accent1"/>
            </w14:solidFill>
          </w14:textFill>
        </w:rPr>
        <w:t>order_target_value = miku_order(order_target_value)</w:t>
      </w:r>
    </w:p>
    <w:p>
      <w:pPr>
        <w:numPr>
          <w:ilvl w:val="0"/>
          <w:numId w:val="0"/>
        </w:numPr>
        <w:ind w:leftChars="0"/>
        <w:jc w:val="left"/>
        <w:rPr>
          <w:rFonts w:hint="default"/>
          <w:color w:val="4874CB" w:themeColor="accent1"/>
          <w:sz w:val="18"/>
          <w:szCs w:val="21"/>
          <w:lang w:val="en-US" w:eastAsia="zh-CN"/>
          <w14:textFill>
            <w14:solidFill>
              <w14:schemeClr w14:val="accent1"/>
            </w14:solidFill>
          </w14:textFill>
        </w:rPr>
      </w:pPr>
      <w:r>
        <w:rPr>
          <w:rFonts w:hint="default"/>
          <w:color w:val="4874CB" w:themeColor="accent1"/>
          <w:sz w:val="18"/>
          <w:szCs w:val="21"/>
          <w:lang w:val="en-US" w:eastAsia="zh-CN"/>
          <w14:textFill>
            <w14:solidFill>
              <w14:schemeClr w14:val="accent1"/>
            </w14:solidFill>
          </w14:textFill>
        </w:rPr>
        <w:t>def initialize(context):</w:t>
      </w:r>
    </w:p>
    <w:p>
      <w:pPr>
        <w:numPr>
          <w:ilvl w:val="0"/>
          <w:numId w:val="0"/>
        </w:numPr>
        <w:ind w:leftChars="0"/>
        <w:jc w:val="left"/>
        <w:rPr>
          <w:rFonts w:hint="default"/>
          <w:color w:val="4874CB" w:themeColor="accent1"/>
          <w:sz w:val="18"/>
          <w:szCs w:val="21"/>
          <w:lang w:val="en-US" w:eastAsia="zh-CN"/>
          <w14:textFill>
            <w14:solidFill>
              <w14:schemeClr w14:val="accent1"/>
            </w14:solidFill>
          </w14:textFill>
        </w:rPr>
      </w:pPr>
      <w:r>
        <w:rPr>
          <w:rFonts w:hint="default"/>
          <w:color w:val="4874CB" w:themeColor="accent1"/>
          <w:sz w:val="18"/>
          <w:szCs w:val="21"/>
          <w:lang w:val="en-US" w:eastAsia="zh-CN"/>
          <w14:textFill>
            <w14:solidFill>
              <w14:schemeClr w14:val="accent1"/>
            </w14:solidFill>
          </w14:textFill>
        </w:rPr>
        <w:t xml:space="preserve">    start_miku(context)</w:t>
      </w:r>
    </w:p>
    <w:p>
      <w:pPr>
        <w:numPr>
          <w:ilvl w:val="0"/>
          <w:numId w:val="0"/>
        </w:numPr>
        <w:ind w:leftChars="0"/>
        <w:jc w:val="left"/>
        <w:rPr>
          <w:rFonts w:hint="default"/>
          <w:color w:val="4874CB" w:themeColor="accent1"/>
          <w:sz w:val="18"/>
          <w:szCs w:val="21"/>
          <w:lang w:val="en-US" w:eastAsia="zh-CN"/>
          <w14:textFill>
            <w14:solidFill>
              <w14:schemeClr w14:val="accent1"/>
            </w14:solidFill>
          </w14:textFill>
        </w:rPr>
      </w:pPr>
      <w:r>
        <w:rPr>
          <w:rFonts w:hint="default"/>
          <w:color w:val="4874CB" w:themeColor="accent1"/>
          <w:sz w:val="18"/>
          <w:szCs w:val="21"/>
          <w:lang w:val="en-US" w:eastAsia="zh-CN"/>
          <w14:textFill>
            <w14:solidFill>
              <w14:schemeClr w14:val="accent1"/>
            </w14:solidFill>
          </w14:textFill>
        </w:rPr>
        <w:t xml:space="preserve">    g.资金账号 = '</w:t>
      </w:r>
      <w:r>
        <w:rPr>
          <w:rFonts w:hint="eastAsia"/>
          <w:color w:val="4874CB" w:themeColor="accent1"/>
          <w:sz w:val="18"/>
          <w:szCs w:val="21"/>
          <w:lang w:val="en-US" w:eastAsia="zh-CN"/>
          <w14:textFill>
            <w14:solidFill>
              <w14:schemeClr w14:val="accent1"/>
            </w14:solidFill>
          </w14:textFill>
        </w:rPr>
        <w:t>88888888</w:t>
      </w:r>
      <w:r>
        <w:rPr>
          <w:rFonts w:hint="default"/>
          <w:color w:val="4874CB" w:themeColor="accent1"/>
          <w:sz w:val="18"/>
          <w:szCs w:val="21"/>
          <w:lang w:val="en-US" w:eastAsia="zh-CN"/>
          <w14:textFill>
            <w14:solidFill>
              <w14:schemeClr w14:val="accent1"/>
            </w14:solidFill>
          </w14:textFill>
        </w:rPr>
        <w:t>' #填写接收信号的证券资金账号（必填，纯数字）</w:t>
      </w:r>
    </w:p>
    <w:p>
      <w:pPr>
        <w:numPr>
          <w:ilvl w:val="0"/>
          <w:numId w:val="0"/>
        </w:numPr>
        <w:ind w:leftChars="0"/>
        <w:jc w:val="left"/>
        <w:rPr>
          <w:rFonts w:hint="default"/>
          <w:color w:val="4874CB" w:themeColor="accent1"/>
          <w:sz w:val="18"/>
          <w:szCs w:val="21"/>
          <w:lang w:val="en-US" w:eastAsia="zh-CN"/>
          <w14:textFill>
            <w14:solidFill>
              <w14:schemeClr w14:val="accent1"/>
            </w14:solidFill>
          </w14:textFill>
        </w:rPr>
      </w:pPr>
      <w:r>
        <w:rPr>
          <w:rFonts w:hint="default"/>
          <w:color w:val="4874CB" w:themeColor="accent1"/>
          <w:sz w:val="18"/>
          <w:szCs w:val="21"/>
          <w:lang w:val="en-US" w:eastAsia="zh-CN"/>
          <w14:textFill>
            <w14:solidFill>
              <w14:schemeClr w14:val="accent1"/>
            </w14:solidFill>
          </w14:textFill>
        </w:rPr>
        <w:t xml:space="preserve">    g.策略名称 = '天天涨停' #填写</w:t>
      </w:r>
      <w:r>
        <w:rPr>
          <w:rFonts w:hint="eastAsia"/>
          <w:color w:val="4874CB" w:themeColor="accent1"/>
          <w:sz w:val="18"/>
          <w:szCs w:val="21"/>
          <w:lang w:val="en-US" w:eastAsia="zh-CN"/>
          <w14:textFill>
            <w14:solidFill>
              <w14:schemeClr w14:val="accent1"/>
            </w14:solidFill>
          </w14:textFill>
        </w:rPr>
        <w:t>正在</w:t>
      </w:r>
      <w:r>
        <w:rPr>
          <w:rFonts w:hint="default"/>
          <w:color w:val="4874CB" w:themeColor="accent1"/>
          <w:sz w:val="18"/>
          <w:szCs w:val="21"/>
          <w:lang w:val="en-US" w:eastAsia="zh-CN"/>
          <w14:textFill>
            <w14:solidFill>
              <w14:schemeClr w14:val="accent1"/>
            </w14:solidFill>
          </w14:textFill>
        </w:rPr>
        <w:t>运行的策略名称，</w:t>
      </w:r>
      <w:r>
        <w:rPr>
          <w:rFonts w:hint="eastAsia"/>
          <w:color w:val="4874CB" w:themeColor="accent1"/>
          <w:sz w:val="18"/>
          <w:szCs w:val="21"/>
          <w:lang w:val="en-US" w:eastAsia="zh-CN"/>
          <w14:textFill>
            <w14:solidFill>
              <w14:schemeClr w14:val="accent1"/>
            </w14:solidFill>
          </w14:textFill>
        </w:rPr>
        <w:t>用于</w:t>
      </w:r>
      <w:r>
        <w:rPr>
          <w:rFonts w:hint="default"/>
          <w:color w:val="4874CB" w:themeColor="accent1"/>
          <w:sz w:val="18"/>
          <w:szCs w:val="21"/>
          <w:lang w:val="en-US" w:eastAsia="zh-CN"/>
          <w14:textFill>
            <w14:solidFill>
              <w14:schemeClr w14:val="accent1"/>
            </w14:solidFill>
          </w14:textFill>
        </w:rPr>
        <w:t>区分不同策略（必填，中英文都可以）</w:t>
      </w:r>
    </w:p>
    <w:p>
      <w:pPr>
        <w:numPr>
          <w:ilvl w:val="0"/>
          <w:numId w:val="0"/>
        </w:numPr>
        <w:ind w:leftChars="0"/>
        <w:jc w:val="left"/>
        <w:rPr>
          <w:rFonts w:hint="default"/>
          <w:lang w:val="en-US" w:eastAsia="zh-CN"/>
        </w:rPr>
      </w:pPr>
      <w:r>
        <w:rPr>
          <w:rFonts w:hint="default"/>
          <w:color w:val="4874CB" w:themeColor="accent1"/>
          <w:sz w:val="18"/>
          <w:szCs w:val="21"/>
          <w:lang w:val="en-US" w:eastAsia="zh-CN"/>
          <w14:textFill>
            <w14:solidFill>
              <w14:schemeClr w14:val="accent1"/>
            </w14:solidFill>
          </w14:textFill>
        </w:rPr>
        <w:t xml:space="preserve">    g.运行模式 = 0  # 0 测试模式（任何时候运行都会发送交易信号），1 正式模式（仅在聚宽模拟交易时发送交易信号）</w:t>
      </w:r>
    </w:p>
    <w:p>
      <w:r>
        <w:drawing>
          <wp:inline distT="0" distB="0" distL="114300" distR="114300">
            <wp:extent cx="3353435" cy="3088005"/>
            <wp:effectExtent l="0" t="0" r="12065" b="10795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53435" cy="308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numPr>
          <w:ilvl w:val="0"/>
          <w:numId w:val="2"/>
        </w:numPr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替换并保存后</w:t>
      </w:r>
      <w:r>
        <w:rPr>
          <w:rFonts w:hint="default"/>
          <w:lang w:val="en-US" w:eastAsia="zh-CN"/>
        </w:rPr>
        <w:t>，</w:t>
      </w:r>
      <w:r>
        <w:rPr>
          <w:rFonts w:hint="eastAsia"/>
          <w:color w:val="FF0000"/>
          <w:lang w:val="en-US" w:eastAsia="zh-CN"/>
        </w:rPr>
        <w:t>必须执行一次</w:t>
      </w:r>
      <w:r>
        <w:rPr>
          <w:rFonts w:hint="default"/>
          <w:color w:val="FF0000"/>
          <w:lang w:val="en-US" w:eastAsia="zh-CN"/>
        </w:rPr>
        <w:t>完整的回测</w:t>
      </w:r>
      <w:r>
        <w:rPr>
          <w:rFonts w:hint="eastAsia"/>
          <w:color w:val="FF0000"/>
          <w:lang w:val="en-US" w:eastAsia="zh-CN"/>
        </w:rPr>
        <w:t>（时间范围选一天，执行的更快）</w:t>
      </w:r>
      <w:r>
        <w:rPr>
          <w:rFonts w:hint="default"/>
          <w:lang w:val="en-US" w:eastAsia="zh-CN"/>
        </w:rPr>
        <w:t>，再添加到聚宽模拟</w:t>
      </w:r>
      <w:r>
        <w:rPr>
          <w:rFonts w:hint="eastAsia"/>
          <w:lang w:val="en-US" w:eastAsia="zh-CN"/>
        </w:rPr>
        <w:t>策略列表</w:t>
      </w:r>
    </w:p>
    <w:p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3883660" cy="1322070"/>
            <wp:effectExtent l="0" t="0" r="2540" b="11430"/>
            <wp:docPr id="1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83660" cy="132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833620" cy="2658110"/>
            <wp:effectExtent l="0" t="0" r="5080" b="8890"/>
            <wp:docPr id="1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33620" cy="265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3729990" cy="1410970"/>
            <wp:effectExtent l="0" t="0" r="3810" b="11430"/>
            <wp:docPr id="1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29990" cy="141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聚宽就设置完毕，</w:t>
      </w:r>
      <w:r>
        <w:rPr>
          <w:rFonts w:hint="eastAsia"/>
          <w:color w:val="FF0000"/>
          <w:lang w:val="en-US" w:eastAsia="zh-CN"/>
        </w:rPr>
        <w:t>注意聚宽免费用户运行策略数据会延迟一天，实盘请使用聚宽会员账号！！</w:t>
      </w:r>
      <w:r>
        <w:br w:type="page"/>
      </w:r>
    </w:p>
    <w:p>
      <w:pPr>
        <w:pStyle w:val="4"/>
        <w:keepNext/>
        <w:keepLines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 w:line="240" w:lineRule="auto"/>
        <w:textAlignment w:val="auto"/>
        <w:rPr>
          <w:rFonts w:hint="default"/>
          <w:lang w:val="en-US" w:eastAsia="zh-CN"/>
        </w:rPr>
      </w:pPr>
      <w:r>
        <w:rPr>
          <w:rFonts w:hint="eastAsia"/>
          <w:sz w:val="24"/>
          <w:szCs w:val="21"/>
          <w:lang w:val="en-US" w:eastAsia="zh-CN"/>
        </w:rPr>
        <w:t>QMT端设置步骤：</w:t>
      </w:r>
      <w:r>
        <w:rPr>
          <w:rFonts w:hint="eastAsia"/>
          <w:color w:val="FF0000"/>
          <w:sz w:val="24"/>
          <w:szCs w:val="21"/>
          <w:lang w:val="en-US" w:eastAsia="zh-CN"/>
        </w:rPr>
        <w:t>（只设置一次）</w:t>
      </w:r>
    </w:p>
    <w:p>
      <w:pPr>
        <w:numPr>
          <w:ilvl w:val="0"/>
          <w:numId w:val="3"/>
        </w:num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安装完券商QMT后右键图标点击</w:t>
      </w:r>
      <w:r>
        <w:rPr>
          <w:rFonts w:hint="eastAsia"/>
          <w:color w:val="FF0000"/>
          <w:lang w:val="en-US" w:eastAsia="zh-CN"/>
        </w:rPr>
        <w:t>属性</w:t>
      </w:r>
      <w:r>
        <w:rPr>
          <w:rFonts w:hint="eastAsia"/>
          <w:lang w:val="en-US" w:eastAsia="zh-CN"/>
        </w:rPr>
        <w:t>选择</w:t>
      </w:r>
      <w:r>
        <w:rPr>
          <w:rFonts w:hint="eastAsia"/>
          <w:color w:val="FF0000"/>
          <w:lang w:val="en-US" w:eastAsia="zh-CN"/>
        </w:rPr>
        <w:t>兼容性</w:t>
      </w:r>
      <w:r>
        <w:rPr>
          <w:rFonts w:hint="eastAsia"/>
          <w:lang w:val="en-US" w:eastAsia="zh-CN"/>
        </w:rPr>
        <w:t>，勾选</w:t>
      </w:r>
      <w:r>
        <w:rPr>
          <w:rFonts w:hint="eastAsia"/>
          <w:color w:val="FF0000"/>
          <w:lang w:val="en-US" w:eastAsia="zh-CN"/>
        </w:rPr>
        <w:t>以管理员身份运行此程序</w:t>
      </w:r>
    </w:p>
    <w:p>
      <w:pPr>
        <w:widowControl w:val="0"/>
        <w:numPr>
          <w:ilvl w:val="0"/>
          <w:numId w:val="3"/>
        </w:numPr>
        <w:ind w:left="0" w:leftChars="0" w:firstLine="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登录QMT点开交易设置-&gt;模型设置-&gt;点击</w:t>
      </w:r>
      <w:r>
        <w:rPr>
          <w:rFonts w:hint="eastAsia"/>
          <w:color w:val="FF0000"/>
          <w:lang w:val="en-US" w:eastAsia="zh-CN"/>
        </w:rPr>
        <w:t>Python库下载</w:t>
      </w:r>
      <w:r>
        <w:rPr>
          <w:rFonts w:hint="eastAsia"/>
          <w:lang w:val="en-US" w:eastAsia="zh-CN"/>
        </w:rPr>
        <w:t>，等待下载完成（时间比较久）(使用</w:t>
      </w:r>
      <w:r>
        <w:rPr>
          <w:rFonts w:hint="eastAsia"/>
          <w:color w:val="FF0000"/>
          <w:lang w:val="en-US" w:eastAsia="zh-CN"/>
        </w:rPr>
        <w:t>默认Python库路径不要更改！！！</w:t>
      </w:r>
      <w:r>
        <w:rPr>
          <w:rFonts w:hint="eastAsia"/>
          <w:lang w:val="en-US" w:eastAsia="zh-CN"/>
        </w:rPr>
        <w:t>)</w: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3854450" cy="3733800"/>
            <wp:effectExtent l="0" t="0" r="6350" b="0"/>
            <wp:docPr id="2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5445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3"/>
        </w:numPr>
        <w:ind w:left="0" w:leftChars="0" w:firstLine="0" w:firstLineChars="0"/>
        <w:rPr>
          <w:rFonts w:hint="default"/>
          <w:color w:val="auto"/>
          <w:lang w:val="en-US" w:eastAsia="zh-CN"/>
        </w:rPr>
      </w:pPr>
      <w:r>
        <w:rPr>
          <w:rFonts w:hint="eastAsia"/>
          <w:lang w:val="en-US" w:eastAsia="zh-CN"/>
        </w:rPr>
        <w:t>确保QMT每天运行正常，请</w:t>
      </w:r>
      <w:r>
        <w:rPr>
          <w:rFonts w:hint="eastAsia"/>
          <w:color w:val="FF0000"/>
          <w:lang w:val="en-US" w:eastAsia="zh-CN"/>
        </w:rPr>
        <w:t>开启自动初始化</w:t>
      </w:r>
      <w:r>
        <w:rPr>
          <w:rFonts w:hint="eastAsia"/>
          <w:lang w:val="en-US" w:eastAsia="zh-CN"/>
        </w:rPr>
        <w:t>功能，在</w:t>
      </w:r>
      <w:r>
        <w:rPr>
          <w:rFonts w:hint="eastAsia"/>
          <w:color w:val="FF0000"/>
          <w:lang w:val="en-US" w:eastAsia="zh-CN"/>
        </w:rPr>
        <w:t>自动重启设置</w:t>
      </w:r>
      <w:r>
        <w:rPr>
          <w:rFonts w:hint="eastAsia"/>
          <w:lang w:val="en-US" w:eastAsia="zh-CN"/>
        </w:rPr>
        <w:t>里启用自动初始化并只保留一条初始化时间，</w:t>
      </w:r>
      <w:r>
        <w:rPr>
          <w:rFonts w:hint="eastAsia"/>
          <w:color w:val="FF0000"/>
          <w:lang w:val="en-US" w:eastAsia="zh-CN"/>
        </w:rPr>
        <w:t>时间早于9点</w:t>
      </w:r>
      <w:r>
        <w:rPr>
          <w:rFonts w:hint="eastAsia"/>
          <w:lang w:val="en-US" w:eastAsia="zh-CN"/>
        </w:rPr>
        <w:t>即可，时间越早初始化越流畅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drawing>
          <wp:inline distT="0" distB="0" distL="114300" distR="114300">
            <wp:extent cx="3816350" cy="2266950"/>
            <wp:effectExtent l="0" t="0" r="6350" b="6350"/>
            <wp:docPr id="3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1635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>
      <w:pPr>
        <w:widowControl w:val="0"/>
        <w:numPr>
          <w:ilvl w:val="0"/>
          <w:numId w:val="3"/>
        </w:numPr>
        <w:ind w:left="0" w:leftChars="0" w:firstLine="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关闭安全软件</w:t>
      </w:r>
      <w:r>
        <w:rPr>
          <w:rFonts w:hint="eastAsia"/>
          <w:b/>
          <w:bCs/>
          <w:color w:val="FF0000"/>
          <w:lang w:val="en-US" w:eastAsia="zh-CN"/>
        </w:rPr>
        <w:t>关闭券商QMT</w:t>
      </w:r>
      <w:r>
        <w:rPr>
          <w:rFonts w:hint="eastAsia"/>
          <w:lang w:val="en-US" w:eastAsia="zh-CN"/>
        </w:rPr>
        <w:t>，运行安装工具，将</w:t>
      </w:r>
      <w:r>
        <w:rPr>
          <w:rFonts w:hint="eastAsia"/>
          <w:b/>
          <w:bCs/>
          <w:color w:val="FF0000"/>
          <w:lang w:val="en-US" w:eastAsia="zh-CN"/>
        </w:rPr>
        <w:t>券商</w:t>
      </w:r>
      <w:r>
        <w:rPr>
          <w:rFonts w:hint="eastAsia"/>
          <w:color w:val="FF0000"/>
          <w:lang w:val="en-US" w:eastAsia="zh-CN"/>
        </w:rPr>
        <w:t>QMT桌面图标</w:t>
      </w:r>
      <w:r>
        <w:rPr>
          <w:rFonts w:hint="eastAsia"/>
          <w:lang w:val="en-US" w:eastAsia="zh-CN"/>
        </w:rPr>
        <w:t>拖进输入框后点击安装，等待安装完成（</w:t>
      </w:r>
      <w:r>
        <w:rPr>
          <w:rFonts w:hint="eastAsia"/>
          <w:color w:val="FF0000"/>
          <w:lang w:val="en-US" w:eastAsia="zh-CN"/>
        </w:rPr>
        <w:t>Win7系统无法使用</w:t>
      </w:r>
      <w:r>
        <w:rPr>
          <w:rFonts w:hint="eastAsia"/>
          <w:lang w:val="en-US" w:eastAsia="zh-CN"/>
        </w:rPr>
        <w:t>）</w:t>
      </w:r>
    </w:p>
    <w:p>
      <w:pPr>
        <w:widowControl w:val="0"/>
        <w:numPr>
          <w:ilvl w:val="0"/>
          <w:numId w:val="0"/>
        </w:numPr>
        <w:ind w:leftChars="0"/>
        <w:jc w:val="both"/>
      </w:pPr>
      <w:r>
        <w:drawing>
          <wp:inline distT="0" distB="0" distL="114300" distR="114300">
            <wp:extent cx="3041650" cy="1435100"/>
            <wp:effectExtent l="0" t="0" r="635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41650" cy="143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3098800" cy="1485900"/>
            <wp:effectExtent l="0" t="0" r="0" b="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988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 w:line="240" w:lineRule="auto"/>
        <w:textAlignment w:val="auto"/>
        <w:rPr>
          <w:rFonts w:hint="default"/>
          <w:lang w:val="en-US" w:eastAsia="zh-CN"/>
        </w:rPr>
      </w:pPr>
      <w:r>
        <w:rPr>
          <w:rFonts w:hint="eastAsia"/>
          <w:sz w:val="24"/>
          <w:szCs w:val="21"/>
          <w:lang w:val="en-US" w:eastAsia="zh-CN"/>
        </w:rPr>
        <w:t>二、策略安装步骤：</w:t>
      </w:r>
    </w:p>
    <w:p>
      <w:pPr>
        <w:widowControl w:val="0"/>
        <w:numPr>
          <w:ilvl w:val="0"/>
          <w:numId w:val="4"/>
        </w:numPr>
        <w:ind w:left="0" w:leftChars="0" w:firstLine="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打开登录QMT，点击</w:t>
      </w:r>
      <w:r>
        <w:rPr>
          <w:rFonts w:hint="eastAsia"/>
          <w:color w:val="FF0000"/>
          <w:lang w:val="en-US" w:eastAsia="zh-CN"/>
        </w:rPr>
        <w:t>模型研究</w:t>
      </w:r>
      <w:r>
        <w:rPr>
          <w:rFonts w:hint="eastAsia"/>
          <w:lang w:val="en-US" w:eastAsia="zh-CN"/>
        </w:rPr>
        <w:t>，任意区域</w:t>
      </w:r>
      <w:r>
        <w:rPr>
          <w:rFonts w:hint="eastAsia"/>
          <w:color w:val="FF0000"/>
          <w:lang w:val="en-US" w:eastAsia="zh-CN"/>
        </w:rPr>
        <w:t>右键导入</w:t>
      </w:r>
      <w:r>
        <w:rPr>
          <w:rFonts w:hint="eastAsia"/>
          <w:color w:val="auto"/>
          <w:lang w:val="en-US" w:eastAsia="zh-CN"/>
        </w:rPr>
        <w:t>下载的rzrk</w:t>
      </w:r>
      <w:r>
        <w:rPr>
          <w:rFonts w:hint="eastAsia"/>
          <w:lang w:val="en-US" w:eastAsia="zh-CN"/>
        </w:rPr>
        <w:t>策略文件</w:t>
      </w:r>
    </w:p>
    <w:p>
      <w:pPr>
        <w:widowControl w:val="0"/>
        <w:numPr>
          <w:ilvl w:val="0"/>
          <w:numId w:val="0"/>
        </w:numPr>
        <w:ind w:leftChars="0"/>
        <w:jc w:val="both"/>
      </w:pPr>
      <w:r>
        <w:drawing>
          <wp:inline distT="0" distB="0" distL="114300" distR="114300">
            <wp:extent cx="2139950" cy="1212850"/>
            <wp:effectExtent l="0" t="0" r="6350" b="6350"/>
            <wp:docPr id="3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39950" cy="121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190750" cy="800100"/>
            <wp:effectExtent l="0" t="0" r="6350" b="0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ind w:left="0" w:leftChars="0" w:firstLine="0" w:firstLineChars="0"/>
        <w:rPr>
          <w:rFonts w:hint="default" w:eastAsiaTheme="minorEastAsia"/>
          <w:sz w:val="20"/>
          <w:szCs w:val="22"/>
          <w:lang w:val="en-US" w:eastAsia="zh-CN"/>
        </w:rPr>
      </w:pPr>
      <w:r>
        <w:rPr>
          <w:rFonts w:hint="eastAsia"/>
          <w:lang w:val="en-US" w:eastAsia="zh-CN"/>
        </w:rPr>
        <w:t>点击</w:t>
      </w:r>
      <w:r>
        <w:rPr>
          <w:rFonts w:hint="eastAsia"/>
          <w:color w:val="FF0000"/>
          <w:lang w:val="en-US" w:eastAsia="zh-CN"/>
        </w:rPr>
        <w:t>模型交易</w:t>
      </w:r>
      <w:r>
        <w:rPr>
          <w:rFonts w:hint="eastAsia"/>
          <w:lang w:val="en-US" w:eastAsia="zh-CN"/>
        </w:rPr>
        <w:t>，左侧策略</w:t>
      </w:r>
      <w:r>
        <w:rPr>
          <w:rFonts w:hint="eastAsia"/>
          <w:color w:val="FF0000"/>
          <w:lang w:val="en-US" w:eastAsia="zh-CN"/>
        </w:rPr>
        <w:t>滑到最下方</w:t>
      </w:r>
      <w:r>
        <w:rPr>
          <w:rFonts w:hint="eastAsia"/>
          <w:lang w:val="en-US" w:eastAsia="zh-CN"/>
        </w:rPr>
        <w:t>，选择刚刚导入的策略，弹窗后更改账号类型（</w:t>
      </w:r>
      <w:r>
        <w:rPr>
          <w:rFonts w:hint="eastAsia"/>
          <w:color w:val="FF0000"/>
          <w:lang w:val="en-US" w:eastAsia="zh-CN"/>
        </w:rPr>
        <w:t>支持信用账号融资融券</w:t>
      </w:r>
      <w:r>
        <w:rPr>
          <w:rFonts w:hint="eastAsia"/>
          <w:lang w:val="en-US" w:eastAsia="zh-CN"/>
        </w:rPr>
        <w:t>）、资金账号和</w:t>
      </w:r>
      <w:r>
        <w:rPr>
          <w:rFonts w:hint="eastAsia"/>
          <w:color w:val="FF0000"/>
          <w:lang w:val="en-US" w:eastAsia="zh-CN"/>
        </w:rPr>
        <w:t>策略名称，分配资金，测试模式</w:t>
      </w:r>
      <w:r>
        <w:rPr>
          <w:rFonts w:hint="eastAsia"/>
          <w:lang w:val="en-US" w:eastAsia="zh-CN"/>
        </w:rPr>
        <w:t>等参数后点击</w:t>
      </w:r>
      <w:r>
        <w:rPr>
          <w:rFonts w:hint="eastAsia"/>
          <w:color w:val="FF0000"/>
          <w:lang w:val="en-US" w:eastAsia="zh-CN"/>
        </w:rPr>
        <w:t>保存参数</w:t>
      </w:r>
      <w:r>
        <w:rPr>
          <w:rFonts w:hint="eastAsia"/>
          <w:lang w:val="en-US" w:eastAsia="zh-CN"/>
        </w:rPr>
        <w:t>，再点击确定。</w:t>
      </w:r>
      <w:r>
        <w:rPr>
          <w:rFonts w:hint="eastAsia"/>
          <w:b/>
          <w:bCs/>
          <w:color w:val="FF0000"/>
          <w:sz w:val="20"/>
          <w:szCs w:val="22"/>
          <w:lang w:val="en-US" w:eastAsia="zh-CN"/>
        </w:rPr>
        <w:t>将鼠标停留在参数标题处查看具体参数说明</w:t>
      </w:r>
      <w:r>
        <w:rPr>
          <w:rFonts w:hint="eastAsia"/>
          <w:color w:val="FF0000"/>
          <w:sz w:val="20"/>
          <w:szCs w:val="22"/>
          <w:lang w:val="en-US" w:eastAsia="zh-CN"/>
        </w:rPr>
        <w:t>。</w:t>
      </w:r>
    </w:p>
    <w:p>
      <w:pPr>
        <w:numPr>
          <w:ilvl w:val="0"/>
          <w:numId w:val="0"/>
        </w:numPr>
        <w:ind w:leftChars="0"/>
        <w:rPr>
          <w:rFonts w:hint="default" w:eastAsiaTheme="minorEastAsia"/>
          <w:lang w:val="en-US" w:eastAsia="zh-CN"/>
        </w:rPr>
      </w:pPr>
      <w:r>
        <w:drawing>
          <wp:inline distT="0" distB="0" distL="114300" distR="114300">
            <wp:extent cx="3364230" cy="2510155"/>
            <wp:effectExtent l="0" t="0" r="1270" b="4445"/>
            <wp:docPr id="1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364230" cy="251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default" w:eastAsiaTheme="minorEastAsia"/>
          <w:lang w:val="en-US" w:eastAsia="zh-CN"/>
        </w:rPr>
      </w:pPr>
      <w:r>
        <w:rPr>
          <w:rFonts w:hint="eastAsia"/>
          <w:b/>
          <w:bCs/>
        </w:rPr>
        <w:t>操作</w:t>
      </w:r>
      <w:r>
        <w:rPr>
          <w:rFonts w:hint="eastAsia"/>
          <w:b/>
          <w:bCs/>
          <w:lang w:val="en-US" w:eastAsia="zh-CN"/>
        </w:rPr>
        <w:t xml:space="preserve"> </w:t>
      </w:r>
      <w:r>
        <w:rPr>
          <w:rFonts w:hint="eastAsia"/>
        </w:rPr>
        <w:t>▶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点击成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■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即可运行</w:t>
      </w:r>
      <w:r>
        <w:rPr>
          <w:rFonts w:hint="eastAsia"/>
          <w:lang w:eastAsia="zh-CN"/>
        </w:rPr>
        <w:t>，观察</w:t>
      </w:r>
      <w:r>
        <w:rPr>
          <w:rFonts w:hint="eastAsia"/>
          <w:lang w:val="en-US" w:eastAsia="zh-CN"/>
        </w:rPr>
        <w:t>日志打印没有报错后，运行模式点击改为</w:t>
      </w:r>
      <w:r>
        <w:rPr>
          <w:rFonts w:hint="eastAsia"/>
          <w:color w:val="FF0000"/>
          <w:lang w:val="en-US" w:eastAsia="zh-CN"/>
        </w:rPr>
        <w:t>实盘</w:t>
      </w:r>
      <w:r>
        <w:rPr>
          <w:rFonts w:hint="eastAsia"/>
          <w:color w:val="auto"/>
          <w:lang w:val="en-US" w:eastAsia="zh-CN"/>
        </w:rPr>
        <w:t>运行</w:t>
      </w:r>
    </w:p>
    <w:p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70500" cy="3799840"/>
            <wp:effectExtent l="0" t="0" r="0" b="10160"/>
            <wp:docPr id="1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79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 w:line="240" w:lineRule="auto"/>
        <w:textAlignment w:val="auto"/>
        <w:rPr>
          <w:rFonts w:hint="eastAsia"/>
          <w:sz w:val="24"/>
          <w:szCs w:val="21"/>
        </w:rPr>
      </w:pPr>
      <w:r>
        <w:rPr>
          <w:rFonts w:hint="eastAsia"/>
          <w:sz w:val="24"/>
          <w:szCs w:val="21"/>
          <w:lang w:val="en-US" w:eastAsia="zh-CN"/>
        </w:rPr>
        <w:t>三、</w:t>
      </w:r>
      <w:r>
        <w:rPr>
          <w:rFonts w:hint="eastAsia" w:asciiTheme="minorHAnsi" w:hAnsiTheme="minorHAnsi" w:eastAsiaTheme="minorEastAsia" w:cstheme="minorBidi"/>
          <w:b/>
          <w:kern w:val="2"/>
          <w:sz w:val="24"/>
          <w:szCs w:val="21"/>
          <w:lang w:val="en-US" w:eastAsia="zh-CN" w:bidi="ar-SA"/>
        </w:rPr>
        <w:t>部分参数说明</w:t>
      </w:r>
      <w:r>
        <w:rPr>
          <w:rFonts w:hint="eastAsia"/>
          <w:sz w:val="24"/>
          <w:szCs w:val="21"/>
          <w:lang w:val="en-US" w:eastAsia="zh-CN"/>
        </w:rPr>
        <w:t>：</w:t>
      </w:r>
    </w:p>
    <w:p>
      <w:pPr>
        <w:rPr>
          <w:rFonts w:hint="eastAsia"/>
          <w:sz w:val="22"/>
          <w:szCs w:val="28"/>
        </w:rPr>
      </w:pPr>
      <w:r>
        <w:rPr>
          <w:rFonts w:hint="eastAsia"/>
          <w:color w:val="FF0000"/>
          <w:sz w:val="20"/>
          <w:szCs w:val="22"/>
          <w:lang w:val="en-US" w:eastAsia="zh-CN"/>
        </w:rPr>
        <w:t>其他参数将鼠标停留在参数标题处查看具体参数说明</w:t>
      </w:r>
    </w:p>
    <w:p>
      <w:r>
        <w:rPr>
          <w:rFonts w:hint="eastAsia"/>
          <w:b/>
          <w:bCs/>
          <w:lang w:val="en-US" w:eastAsia="zh-CN"/>
        </w:rPr>
        <w:t>分配</w:t>
      </w:r>
      <w:r>
        <w:rPr>
          <w:rFonts w:hint="eastAsia"/>
          <w:b/>
          <w:bCs/>
        </w:rPr>
        <w:t>资金</w:t>
      </w:r>
      <w:r>
        <w:rPr>
          <w:rFonts w:hint="eastAsia"/>
        </w:rPr>
        <w:t>：设置成≤1时，视为总资金</w:t>
      </w:r>
      <w:r>
        <w:rPr>
          <w:rFonts w:hint="eastAsia"/>
          <w:color w:val="FF0000"/>
        </w:rPr>
        <w:t>百分比</w:t>
      </w:r>
      <w:r>
        <w:rPr>
          <w:rFonts w:hint="eastAsia"/>
        </w:rPr>
        <w:t>，资金设置成&gt;1时，视为具体资金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比如总资产为10万，分配资金填入0.5，则实际分配10 × 0.5 = 5万</w:t>
      </w:r>
    </w:p>
    <w:p>
      <w:r>
        <w:rPr>
          <w:rFonts w:hint="eastAsia"/>
          <w:b/>
          <w:bCs/>
          <w:lang w:val="en-US" w:eastAsia="zh-CN"/>
        </w:rPr>
        <w:t>微信</w:t>
      </w:r>
      <w:r>
        <w:rPr>
          <w:rFonts w:hint="eastAsia"/>
          <w:b/>
          <w:bCs/>
        </w:rPr>
        <w:t>推送</w:t>
      </w:r>
      <w:r>
        <w:rPr>
          <w:rFonts w:hint="eastAsia"/>
          <w:sz w:val="20"/>
          <w:szCs w:val="22"/>
        </w:rPr>
        <w:t>：微信关注《</w:t>
      </w:r>
      <w:r>
        <w:rPr>
          <w:rFonts w:hint="eastAsia"/>
          <w:b/>
          <w:bCs/>
          <w:sz w:val="20"/>
          <w:szCs w:val="22"/>
        </w:rPr>
        <w:t>showdoc推送服务</w:t>
      </w:r>
      <w:r>
        <w:rPr>
          <w:rFonts w:hint="eastAsia"/>
          <w:sz w:val="20"/>
          <w:szCs w:val="22"/>
        </w:rPr>
        <w:t>》后获得专属推送地址，截取push/后的推送ID填入</w:t>
      </w:r>
    </w:p>
    <w:p>
      <w:r>
        <w:drawing>
          <wp:inline distT="0" distB="0" distL="114300" distR="114300">
            <wp:extent cx="3778250" cy="2040255"/>
            <wp:effectExtent l="0" t="0" r="6350" b="4445"/>
            <wp:docPr id="38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2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778250" cy="204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开启公众号推送的弹窗提醒和未读提醒，建议电脑端将公众号置顶</w:t>
      </w:r>
    </w:p>
    <w:p>
      <w:r>
        <w:t xml:space="preserve"> </w:t>
      </w:r>
      <w:r>
        <w:fldChar w:fldCharType="begin"/>
      </w:r>
      <w:r>
        <w:instrText xml:space="preserve"> HYPERLINK "https://www.showdoc.com.cn/p/ba3f342eaff63072eb1976a5e18443c8" </w:instrText>
      </w:r>
      <w:r>
        <w:fldChar w:fldCharType="separate"/>
      </w:r>
      <w:r>
        <w:rPr>
          <w:rStyle w:val="9"/>
        </w:rPr>
        <w:t>https://www.showdoc.com.cn/p/ba3f342eaff63072eb1976a5e18443c8</w:t>
      </w:r>
      <w:r>
        <w:rPr>
          <w:rStyle w:val="10"/>
        </w:rPr>
        <w:fldChar w:fldCharType="end"/>
      </w:r>
    </w:p>
    <w:p>
      <w:pPr>
        <w:rPr>
          <w:rFonts w:hint="eastAsia"/>
        </w:rPr>
      </w:pPr>
      <w:r>
        <w:rPr>
          <w:rFonts w:hint="eastAsia"/>
          <w:b/>
          <w:bCs/>
        </w:rPr>
        <w:t>推送效果：</w:t>
      </w:r>
      <w:r>
        <w:rPr>
          <w:rFonts w:hint="eastAsia"/>
        </w:rPr>
        <w:t>点击</w:t>
      </w:r>
      <w:r>
        <w:rPr>
          <w:rFonts w:hint="eastAsia"/>
          <w:b/>
          <w:bCs/>
        </w:rPr>
        <w:t>查看详情</w:t>
      </w:r>
      <w:r>
        <w:rPr>
          <w:rFonts w:hint="eastAsia"/>
        </w:rPr>
        <w:t>，可以查看委托明细数据</w:t>
      </w:r>
    </w:p>
    <w:p>
      <w:pPr>
        <w:rPr>
          <w:rFonts w:hint="eastAsia"/>
        </w:rPr>
      </w:pPr>
      <w:r>
        <w:drawing>
          <wp:inline distT="0" distB="0" distL="114300" distR="114300">
            <wp:extent cx="2148205" cy="875030"/>
            <wp:effectExtent l="0" t="0" r="10795" b="127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148205" cy="87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2501265" cy="2572385"/>
            <wp:effectExtent l="0" t="0" r="635" b="5715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501265" cy="257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614930" cy="2004060"/>
            <wp:effectExtent l="0" t="0" r="1270" b="2540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614930" cy="200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default"/>
          <w:sz w:val="36"/>
          <w:szCs w:val="4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4A3914B"/>
    <w:multiLevelType w:val="singleLevel"/>
    <w:tmpl w:val="94A3914B"/>
    <w:lvl w:ilvl="0" w:tentative="0">
      <w:start w:val="1"/>
      <w:numFmt w:val="decimal"/>
      <w:lvlText w:val="%1."/>
      <w:lvlJc w:val="left"/>
      <w:pPr>
        <w:tabs>
          <w:tab w:val="left" w:pos="312"/>
        </w:tabs>
      </w:pPr>
      <w:rPr>
        <w:rFonts w:hint="default"/>
        <w:color w:val="auto"/>
      </w:rPr>
    </w:lvl>
  </w:abstractNum>
  <w:abstractNum w:abstractNumId="1">
    <w:nsid w:val="FF73117F"/>
    <w:multiLevelType w:val="singleLevel"/>
    <w:tmpl w:val="FF73117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B1530E3"/>
    <w:multiLevelType w:val="singleLevel"/>
    <w:tmpl w:val="4B1530E3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5F873567"/>
    <w:multiLevelType w:val="singleLevel"/>
    <w:tmpl w:val="5F873567"/>
    <w:lvl w:ilvl="0" w:tentative="0">
      <w:start w:val="1"/>
      <w:numFmt w:val="decimal"/>
      <w:suff w:val="space"/>
      <w:lvlText w:val="%1."/>
      <w:lvlJc w:val="left"/>
      <w:rPr>
        <w:rFonts w:hint="default"/>
        <w:color w:val="auto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B2F"/>
    <w:rsid w:val="000B4A46"/>
    <w:rsid w:val="003A48F0"/>
    <w:rsid w:val="00465E37"/>
    <w:rsid w:val="004923B8"/>
    <w:rsid w:val="00651D2C"/>
    <w:rsid w:val="00703B66"/>
    <w:rsid w:val="00740F73"/>
    <w:rsid w:val="008D625D"/>
    <w:rsid w:val="009A483D"/>
    <w:rsid w:val="00A7552B"/>
    <w:rsid w:val="00A8652B"/>
    <w:rsid w:val="00B4175F"/>
    <w:rsid w:val="00B47A78"/>
    <w:rsid w:val="00BF15A5"/>
    <w:rsid w:val="00C74F6B"/>
    <w:rsid w:val="00D02B2F"/>
    <w:rsid w:val="00DE1826"/>
    <w:rsid w:val="00E560D4"/>
    <w:rsid w:val="00E86D90"/>
    <w:rsid w:val="00E9417C"/>
    <w:rsid w:val="00F243AB"/>
    <w:rsid w:val="00F5091F"/>
    <w:rsid w:val="00F76DC5"/>
    <w:rsid w:val="01E30B06"/>
    <w:rsid w:val="03F60162"/>
    <w:rsid w:val="04430447"/>
    <w:rsid w:val="046644DD"/>
    <w:rsid w:val="048B7202"/>
    <w:rsid w:val="060F4DFF"/>
    <w:rsid w:val="063E2FEC"/>
    <w:rsid w:val="064940DD"/>
    <w:rsid w:val="06750B6E"/>
    <w:rsid w:val="06A124E5"/>
    <w:rsid w:val="07CD1FFD"/>
    <w:rsid w:val="07D06FDE"/>
    <w:rsid w:val="07FD0DA7"/>
    <w:rsid w:val="08813E61"/>
    <w:rsid w:val="08E959E3"/>
    <w:rsid w:val="0A102D91"/>
    <w:rsid w:val="0A96159B"/>
    <w:rsid w:val="0B2762CA"/>
    <w:rsid w:val="0BBB4BB4"/>
    <w:rsid w:val="0CB36D85"/>
    <w:rsid w:val="0DE31AC8"/>
    <w:rsid w:val="0E84377C"/>
    <w:rsid w:val="112D4C00"/>
    <w:rsid w:val="12753089"/>
    <w:rsid w:val="12FA3F60"/>
    <w:rsid w:val="135E6CD6"/>
    <w:rsid w:val="13EE7E7E"/>
    <w:rsid w:val="150C5718"/>
    <w:rsid w:val="15C16A2A"/>
    <w:rsid w:val="15D22763"/>
    <w:rsid w:val="17265E58"/>
    <w:rsid w:val="18740863"/>
    <w:rsid w:val="18BE0313"/>
    <w:rsid w:val="18CD4208"/>
    <w:rsid w:val="1A6A1734"/>
    <w:rsid w:val="1A6C708E"/>
    <w:rsid w:val="1A9B23B2"/>
    <w:rsid w:val="1BE27CD5"/>
    <w:rsid w:val="1D2C738D"/>
    <w:rsid w:val="1D545EBF"/>
    <w:rsid w:val="1E4D4545"/>
    <w:rsid w:val="1FB35111"/>
    <w:rsid w:val="20084EBB"/>
    <w:rsid w:val="20440A65"/>
    <w:rsid w:val="20B02114"/>
    <w:rsid w:val="228842AD"/>
    <w:rsid w:val="23D7642A"/>
    <w:rsid w:val="23DF1969"/>
    <w:rsid w:val="2460542C"/>
    <w:rsid w:val="266F3455"/>
    <w:rsid w:val="26FA0BA9"/>
    <w:rsid w:val="27D43DE0"/>
    <w:rsid w:val="28660E85"/>
    <w:rsid w:val="28BC3652"/>
    <w:rsid w:val="29E07A9A"/>
    <w:rsid w:val="2A700EAD"/>
    <w:rsid w:val="2B1A765B"/>
    <w:rsid w:val="2B672FC8"/>
    <w:rsid w:val="2BBF4052"/>
    <w:rsid w:val="2C3F70C4"/>
    <w:rsid w:val="2CDB1327"/>
    <w:rsid w:val="309B0A4D"/>
    <w:rsid w:val="3146218A"/>
    <w:rsid w:val="31C262B1"/>
    <w:rsid w:val="337D1025"/>
    <w:rsid w:val="337E65EE"/>
    <w:rsid w:val="34B43675"/>
    <w:rsid w:val="34C36176"/>
    <w:rsid w:val="353956F6"/>
    <w:rsid w:val="35C81176"/>
    <w:rsid w:val="36903A00"/>
    <w:rsid w:val="37D5137B"/>
    <w:rsid w:val="38187C8F"/>
    <w:rsid w:val="38A22FF6"/>
    <w:rsid w:val="393A44E6"/>
    <w:rsid w:val="3974277F"/>
    <w:rsid w:val="3AA35FC3"/>
    <w:rsid w:val="3C126C5B"/>
    <w:rsid w:val="3D933712"/>
    <w:rsid w:val="3E322D18"/>
    <w:rsid w:val="3E444603"/>
    <w:rsid w:val="3E862CE0"/>
    <w:rsid w:val="3EDF0F3C"/>
    <w:rsid w:val="3F450D80"/>
    <w:rsid w:val="3FE710E5"/>
    <w:rsid w:val="40C73FD6"/>
    <w:rsid w:val="41B71360"/>
    <w:rsid w:val="4224034B"/>
    <w:rsid w:val="433467A6"/>
    <w:rsid w:val="43A30F85"/>
    <w:rsid w:val="43CE7A35"/>
    <w:rsid w:val="454160E6"/>
    <w:rsid w:val="463740CD"/>
    <w:rsid w:val="463752B6"/>
    <w:rsid w:val="465A4BBB"/>
    <w:rsid w:val="4705610E"/>
    <w:rsid w:val="484641FC"/>
    <w:rsid w:val="484B6086"/>
    <w:rsid w:val="491969E4"/>
    <w:rsid w:val="4921197C"/>
    <w:rsid w:val="49597534"/>
    <w:rsid w:val="4BBC0171"/>
    <w:rsid w:val="4C172CC4"/>
    <w:rsid w:val="4C1C3711"/>
    <w:rsid w:val="4F7E1D00"/>
    <w:rsid w:val="50691FBF"/>
    <w:rsid w:val="509037D5"/>
    <w:rsid w:val="51E51C35"/>
    <w:rsid w:val="52B40951"/>
    <w:rsid w:val="52C5058C"/>
    <w:rsid w:val="53EC2A2A"/>
    <w:rsid w:val="57DA6398"/>
    <w:rsid w:val="581B6AF9"/>
    <w:rsid w:val="58C46772"/>
    <w:rsid w:val="59A3451F"/>
    <w:rsid w:val="5A676D4D"/>
    <w:rsid w:val="5D657148"/>
    <w:rsid w:val="5E53552F"/>
    <w:rsid w:val="5E810B9A"/>
    <w:rsid w:val="5F6E5E73"/>
    <w:rsid w:val="6000580A"/>
    <w:rsid w:val="64A255C8"/>
    <w:rsid w:val="64C11BE6"/>
    <w:rsid w:val="6587579F"/>
    <w:rsid w:val="66334E0A"/>
    <w:rsid w:val="66C42733"/>
    <w:rsid w:val="67F07212"/>
    <w:rsid w:val="68050A79"/>
    <w:rsid w:val="69C810EB"/>
    <w:rsid w:val="69D057D1"/>
    <w:rsid w:val="6A3E165B"/>
    <w:rsid w:val="6A7C6BA9"/>
    <w:rsid w:val="6D112CF4"/>
    <w:rsid w:val="6D3139BF"/>
    <w:rsid w:val="6E393DE4"/>
    <w:rsid w:val="6F8B5668"/>
    <w:rsid w:val="70A52FF3"/>
    <w:rsid w:val="71C10FE3"/>
    <w:rsid w:val="722E5DD5"/>
    <w:rsid w:val="72374D0B"/>
    <w:rsid w:val="72661BF9"/>
    <w:rsid w:val="742F0D59"/>
    <w:rsid w:val="771954D7"/>
    <w:rsid w:val="77D42199"/>
    <w:rsid w:val="790278BC"/>
    <w:rsid w:val="79A07D4E"/>
    <w:rsid w:val="79DA0067"/>
    <w:rsid w:val="79E32C86"/>
    <w:rsid w:val="79F36991"/>
    <w:rsid w:val="7ADF71B5"/>
    <w:rsid w:val="7D022E2D"/>
    <w:rsid w:val="7E9136B4"/>
    <w:rsid w:val="7F6A6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12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link w:val="13"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4"/>
    </w:pPr>
    <w:rPr>
      <w:b/>
      <w:sz w:val="2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FollowedHyperlink"/>
    <w:basedOn w:val="8"/>
    <w:qFormat/>
    <w:uiPriority w:val="0"/>
    <w:rPr>
      <w:color w:val="800080"/>
      <w:u w:val="single"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character" w:customStyle="1" w:styleId="11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2">
    <w:name w:val="标题 2 Char"/>
    <w:link w:val="3"/>
    <w:qFormat/>
    <w:uiPriority w:val="0"/>
    <w:rPr>
      <w:rFonts w:ascii="Arial" w:hAnsi="Arial" w:eastAsia="黑体"/>
      <w:b/>
      <w:sz w:val="32"/>
    </w:rPr>
  </w:style>
  <w:style w:type="character" w:customStyle="1" w:styleId="13">
    <w:name w:val="标题 3 Char"/>
    <w:link w:val="4"/>
    <w:qFormat/>
    <w:uiPriority w:val="0"/>
    <w:rPr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2" Type="http://schemas.openxmlformats.org/officeDocument/2006/relationships/fontTable" Target="fontTable.xml"/><Relationship Id="rId21" Type="http://schemas.openxmlformats.org/officeDocument/2006/relationships/numbering" Target="numbering.xml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170</Words>
  <Characters>975</Characters>
  <Lines>8</Lines>
  <Paragraphs>2</Paragraphs>
  <TotalTime>0</TotalTime>
  <ScaleCrop>false</ScaleCrop>
  <LinksUpToDate>false</LinksUpToDate>
  <CharactersWithSpaces>1143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2025-05-03T17:20:00Z</dcterms:created>
  <dc:creator>Yanlang</dc:creator>
  <cp:lastModifiedBy>Yanlang</cp:lastModifiedBy>
  <dcterms:modified xsi:type="dcterms:W3CDTF">2025-09-28T20:10:36Z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KSOTemplateDocerSaveRecord">
    <vt:lpwstr>eyJoZGlkIjoiNmFhZWI4ZDk4NDdiYTQ2NWJlNWEwNDBkMGFhZGEzNzQiLCJ1c2VySWQiOiIxMjk3Mzg5OTc2In0=</vt:lpwstr>
  </property>
  <property fmtid="{D5CDD505-2E9C-101B-9397-08002B2CF9AE}" pid="4" name="ICV">
    <vt:lpwstr>1F1C80C48CC8484F88C2739F0D22EAFF_12</vt:lpwstr>
  </property>
</Properties>
</file>